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adjustRightInd w:val="0"/>
        <w:snapToGrid w:val="0"/>
        <w:spacing w:line="320" w:lineRule="atLeast"/>
        <w:ind w:firstLine="210" w:firstLineChars="100"/>
        <w:rPr>
          <w:rFonts w:ascii="黑体" w:hAnsi="黑体" w:eastAsia="黑体"/>
          <w:b/>
          <w:szCs w:val="21"/>
        </w:rPr>
      </w:pPr>
      <w:r>
        <w:rPr>
          <w:rFonts w:hint="eastAsia" w:ascii="黑体" w:hAnsi="黑体" w:eastAsia="黑体"/>
          <w:szCs w:val="21"/>
        </w:rPr>
        <w:t>四、简答题</w:t>
      </w:r>
    </w:p>
    <w:p>
      <w:pPr>
        <w:pStyle w:val="15"/>
        <w:numPr>
          <w:ilvl w:val="0"/>
          <w:numId w:val="1"/>
        </w:numPr>
        <w:adjustRightInd w:val="0"/>
        <w:snapToGrid w:val="0"/>
        <w:spacing w:line="320" w:lineRule="atLeast"/>
        <w:ind w:firstLineChars="0"/>
        <w:rPr>
          <w:szCs w:val="21"/>
        </w:rPr>
      </w:pPr>
      <w:r>
        <w:rPr>
          <w:rFonts w:hint="eastAsia"/>
          <w:szCs w:val="21"/>
        </w:rPr>
        <w:t>依据《国内海洋渔船法定检验技术规则（</w:t>
      </w:r>
      <w:r>
        <w:rPr>
          <w:szCs w:val="21"/>
        </w:rPr>
        <w:t>2019</w:t>
      </w:r>
      <w:r>
        <w:rPr>
          <w:rFonts w:hint="eastAsia"/>
          <w:szCs w:val="21"/>
        </w:rPr>
        <w:t>）》，</w:t>
      </w:r>
      <w:r>
        <w:rPr>
          <w:rFonts w:hint="eastAsia" w:ascii="宋体" w:hAnsi="宋体" w:eastAsia="宋体" w:cs="宋体"/>
          <w:szCs w:val="21"/>
        </w:rPr>
        <w:t>“</w:t>
      </w:r>
      <w:r>
        <w:rPr>
          <w:szCs w:val="21"/>
        </w:rPr>
        <w:t>A</w:t>
      </w:r>
      <w:r>
        <w:rPr>
          <w:rFonts w:hint="eastAsia"/>
          <w:szCs w:val="21"/>
        </w:rPr>
        <w:t>类机器处所</w:t>
      </w:r>
      <w:r>
        <w:rPr>
          <w:rFonts w:hint="eastAsia" w:ascii="宋体" w:hAnsi="宋体" w:eastAsia="宋体" w:cs="宋体"/>
          <w:szCs w:val="21"/>
        </w:rPr>
        <w:t>”</w:t>
      </w:r>
      <w:r>
        <w:rPr>
          <w:rFonts w:hint="eastAsia"/>
          <w:szCs w:val="21"/>
        </w:rPr>
        <w:t>的防火要求具有特别的地位，渔船</w:t>
      </w:r>
      <w:r>
        <w:rPr>
          <w:szCs w:val="21"/>
        </w:rPr>
        <w:t>A</w:t>
      </w:r>
      <w:r>
        <w:rPr>
          <w:rFonts w:hint="eastAsia"/>
          <w:szCs w:val="21"/>
        </w:rPr>
        <w:t>类机器处所包括哪些用途的处所？</w:t>
      </w:r>
    </w:p>
    <w:p>
      <w:pPr>
        <w:rPr>
          <w:szCs w:val="21"/>
        </w:rPr>
      </w:pPr>
      <w:r>
        <w:rPr>
          <w:rFonts w:hint="eastAsia"/>
          <w:szCs w:val="21"/>
        </w:rPr>
        <w:t>答案：</w:t>
      </w:r>
    </w:p>
    <w:p>
      <w:pPr>
        <w:ind w:firstLine="420" w:firstLineChars="200"/>
        <w:rPr>
          <w:szCs w:val="21"/>
        </w:rPr>
      </w:pPr>
      <w:r>
        <w:rPr>
          <w:szCs w:val="21"/>
        </w:rPr>
        <w:t>A</w:t>
      </w:r>
      <w:r>
        <w:rPr>
          <w:rFonts w:hint="eastAsia"/>
          <w:szCs w:val="21"/>
        </w:rPr>
        <w:t>类机器处所系指装有下列用途之一的内燃机处所以及通往这些处所的围蔽通道</w:t>
      </w:r>
      <w:r>
        <w:rPr>
          <w:szCs w:val="21"/>
        </w:rPr>
        <w:t>:</w:t>
      </w:r>
    </w:p>
    <w:p>
      <w:pPr>
        <w:ind w:firstLine="420" w:firstLineChars="200"/>
        <w:rPr>
          <w:szCs w:val="21"/>
        </w:rPr>
      </w:pPr>
      <w:r>
        <w:rPr>
          <w:rFonts w:hint="eastAsia"/>
          <w:szCs w:val="21"/>
        </w:rPr>
        <w:t>（</w:t>
      </w:r>
      <w:r>
        <w:rPr>
          <w:szCs w:val="21"/>
        </w:rPr>
        <w:t>1</w:t>
      </w:r>
      <w:r>
        <w:rPr>
          <w:rFonts w:hint="eastAsia"/>
          <w:szCs w:val="21"/>
        </w:rPr>
        <w:t>）用于主推进的内燃机；或</w:t>
      </w:r>
    </w:p>
    <w:p>
      <w:pPr>
        <w:ind w:firstLine="420" w:firstLineChars="200"/>
        <w:rPr>
          <w:szCs w:val="21"/>
        </w:rPr>
      </w:pPr>
      <w:r>
        <w:rPr>
          <w:rFonts w:hint="eastAsia"/>
          <w:szCs w:val="21"/>
        </w:rPr>
        <w:t>（</w:t>
      </w:r>
      <w:r>
        <w:rPr>
          <w:szCs w:val="21"/>
        </w:rPr>
        <w:t>2</w:t>
      </w:r>
      <w:r>
        <w:rPr>
          <w:rFonts w:hint="eastAsia"/>
          <w:szCs w:val="21"/>
        </w:rPr>
        <w:t>）作其他用途的合计总输出功率大于或等于</w:t>
      </w:r>
      <w:r>
        <w:rPr>
          <w:szCs w:val="21"/>
        </w:rPr>
        <w:t>375kW</w:t>
      </w:r>
      <w:r>
        <w:rPr>
          <w:rFonts w:hint="eastAsia"/>
          <w:szCs w:val="21"/>
        </w:rPr>
        <w:t>的内燃机；或</w:t>
      </w:r>
    </w:p>
    <w:p>
      <w:pPr>
        <w:ind w:firstLine="420" w:firstLineChars="200"/>
        <w:rPr>
          <w:szCs w:val="21"/>
        </w:rPr>
      </w:pPr>
      <w:r>
        <w:rPr>
          <w:rFonts w:hint="eastAsia"/>
          <w:szCs w:val="21"/>
        </w:rPr>
        <w:t>（</w:t>
      </w:r>
      <w:r>
        <w:rPr>
          <w:szCs w:val="21"/>
        </w:rPr>
        <w:t>3</w:t>
      </w:r>
      <w:r>
        <w:rPr>
          <w:rFonts w:hint="eastAsia"/>
          <w:szCs w:val="21"/>
        </w:rPr>
        <w:t>）任何燃油锅炉或燃油装置。</w:t>
      </w:r>
    </w:p>
    <w:p>
      <w:pPr>
        <w:pStyle w:val="15"/>
        <w:numPr>
          <w:ilvl w:val="0"/>
          <w:numId w:val="1"/>
        </w:numPr>
        <w:adjustRightInd w:val="0"/>
        <w:snapToGrid w:val="0"/>
        <w:spacing w:line="320" w:lineRule="atLeast"/>
        <w:ind w:firstLineChars="0"/>
        <w:rPr>
          <w:szCs w:val="21"/>
        </w:rPr>
      </w:pPr>
      <w:r>
        <w:rPr>
          <w:rFonts w:hint="eastAsia"/>
          <w:szCs w:val="21"/>
        </w:rPr>
        <w:t>依据《国内海洋渔船法定检验技术规则（</w:t>
      </w:r>
      <w:r>
        <w:rPr>
          <w:szCs w:val="21"/>
        </w:rPr>
        <w:t>2019</w:t>
      </w:r>
      <w:r>
        <w:rPr>
          <w:rFonts w:hint="eastAsia"/>
          <w:szCs w:val="21"/>
        </w:rPr>
        <w:t>）》，请简述</w:t>
      </w:r>
      <w:r>
        <w:rPr>
          <w:szCs w:val="21"/>
        </w:rPr>
        <w:t>400</w:t>
      </w:r>
      <w:r>
        <w:rPr>
          <w:rFonts w:hint="eastAsia"/>
          <w:szCs w:val="21"/>
        </w:rPr>
        <w:t>总吨以下国内海洋渔船，其含油舱底水的储存和处理方式应满足哪些要求？</w:t>
      </w:r>
    </w:p>
    <w:p>
      <w:pPr>
        <w:rPr>
          <w:szCs w:val="21"/>
        </w:rPr>
      </w:pPr>
      <w:r>
        <w:rPr>
          <w:rFonts w:hint="eastAsia"/>
          <w:szCs w:val="21"/>
        </w:rPr>
        <w:t>答案：</w:t>
      </w:r>
    </w:p>
    <w:p>
      <w:pPr>
        <w:ind w:firstLine="420" w:firstLineChars="200"/>
        <w:rPr>
          <w:szCs w:val="21"/>
        </w:rPr>
      </w:pPr>
      <w:r>
        <w:rPr>
          <w:szCs w:val="21"/>
        </w:rPr>
        <w:t>400</w:t>
      </w:r>
      <w:r>
        <w:rPr>
          <w:rFonts w:hint="eastAsia"/>
          <w:szCs w:val="21"/>
        </w:rPr>
        <w:t>总吨以下国内海洋渔船，其含油舱底水的储存和</w:t>
      </w:r>
      <w:r>
        <w:rPr>
          <w:rFonts w:hint="eastAsia"/>
          <w:b/>
          <w:bCs/>
          <w:szCs w:val="21"/>
        </w:rPr>
        <w:t>处理方式</w:t>
      </w:r>
      <w:r>
        <w:rPr>
          <w:rFonts w:hint="eastAsia"/>
          <w:szCs w:val="21"/>
        </w:rPr>
        <w:t>：</w:t>
      </w:r>
    </w:p>
    <w:p>
      <w:pPr>
        <w:ind w:firstLine="420" w:firstLineChars="200"/>
        <w:rPr>
          <w:szCs w:val="21"/>
        </w:rPr>
      </w:pPr>
      <w:r>
        <w:rPr>
          <w:rFonts w:hint="eastAsia"/>
          <w:szCs w:val="21"/>
        </w:rPr>
        <w:t>（</w:t>
      </w:r>
      <w:r>
        <w:rPr>
          <w:szCs w:val="21"/>
        </w:rPr>
        <w:t>1</w:t>
      </w:r>
      <w:r>
        <w:rPr>
          <w:rFonts w:hint="eastAsia"/>
          <w:szCs w:val="21"/>
        </w:rPr>
        <w:t>）设置足够容量的舱底水舱将油类或油性混合物留存船上；</w:t>
      </w:r>
    </w:p>
    <w:p>
      <w:pPr>
        <w:ind w:firstLine="420" w:firstLineChars="200"/>
        <w:rPr>
          <w:color w:val="FF0000"/>
          <w:szCs w:val="21"/>
        </w:rPr>
      </w:pPr>
      <w:r>
        <w:rPr>
          <w:rFonts w:hint="eastAsia"/>
          <w:szCs w:val="21"/>
        </w:rPr>
        <w:t>（</w:t>
      </w:r>
      <w:r>
        <w:rPr>
          <w:szCs w:val="21"/>
        </w:rPr>
        <w:t>2</w:t>
      </w:r>
      <w:r>
        <w:rPr>
          <w:rFonts w:hint="eastAsia"/>
          <w:szCs w:val="21"/>
        </w:rPr>
        <w:t>）或设有经认可的，以保证未经稀释的排出物含油量不超过</w:t>
      </w:r>
      <w:r>
        <w:rPr>
          <w:szCs w:val="21"/>
        </w:rPr>
        <w:t>15ppm</w:t>
      </w:r>
      <w:r>
        <w:rPr>
          <w:rFonts w:hint="eastAsia"/>
          <w:szCs w:val="21"/>
        </w:rPr>
        <w:t>的滤油设备，并应设有处理残油（油泥）的设备，包括有足够容量的残油（油泥）舱及标准排放接头等。</w:t>
      </w:r>
    </w:p>
    <w:p>
      <w:pPr>
        <w:pStyle w:val="15"/>
        <w:numPr>
          <w:ilvl w:val="0"/>
          <w:numId w:val="1"/>
        </w:numPr>
        <w:adjustRightInd w:val="0"/>
        <w:snapToGrid w:val="0"/>
        <w:spacing w:line="320" w:lineRule="atLeast"/>
        <w:ind w:firstLineChars="0"/>
        <w:rPr>
          <w:szCs w:val="21"/>
        </w:rPr>
      </w:pPr>
      <w:r>
        <w:rPr>
          <w:rFonts w:hint="eastAsia"/>
          <w:szCs w:val="21"/>
        </w:rPr>
        <w:t>依据《国内海洋渔船法定检验技术规则（</w:t>
      </w:r>
      <w:r>
        <w:rPr>
          <w:szCs w:val="21"/>
        </w:rPr>
        <w:t>2019</w:t>
      </w:r>
      <w:r>
        <w:rPr>
          <w:rFonts w:hint="eastAsia"/>
          <w:szCs w:val="21"/>
        </w:rPr>
        <w:t>）》，请简述对于现有渔船和新建渔船的防污底系统的具体要求。</w:t>
      </w:r>
    </w:p>
    <w:p>
      <w:pPr>
        <w:rPr>
          <w:szCs w:val="21"/>
        </w:rPr>
      </w:pPr>
      <w:r>
        <w:rPr>
          <w:rFonts w:hint="eastAsia"/>
          <w:szCs w:val="21"/>
        </w:rPr>
        <w:t>答案：</w:t>
      </w:r>
    </w:p>
    <w:p>
      <w:pPr>
        <w:ind w:firstLine="420" w:firstLineChars="200"/>
        <w:rPr>
          <w:b/>
          <w:bCs/>
          <w:szCs w:val="21"/>
        </w:rPr>
      </w:pPr>
      <w:r>
        <w:rPr>
          <w:rFonts w:hint="eastAsia"/>
          <w:szCs w:val="21"/>
        </w:rPr>
        <w:t>对于</w:t>
      </w:r>
      <w:r>
        <w:rPr>
          <w:rFonts w:hint="eastAsia"/>
          <w:b/>
          <w:bCs/>
          <w:szCs w:val="21"/>
        </w:rPr>
        <w:t>新建渔船或现有渔船：</w:t>
      </w:r>
    </w:p>
    <w:p>
      <w:pPr>
        <w:ind w:firstLine="420" w:firstLineChars="200"/>
        <w:rPr>
          <w:szCs w:val="21"/>
        </w:rPr>
      </w:pPr>
      <w:r>
        <w:rPr>
          <w:rFonts w:hint="eastAsia"/>
          <w:szCs w:val="21"/>
        </w:rPr>
        <w:t>（</w:t>
      </w:r>
      <w:r>
        <w:rPr>
          <w:szCs w:val="21"/>
        </w:rPr>
        <w:t>1</w:t>
      </w:r>
      <w:r>
        <w:rPr>
          <w:rFonts w:hint="eastAsia"/>
          <w:szCs w:val="21"/>
        </w:rPr>
        <w:t>）在船壳上或外部构件或表面上不得有作为杀生物剂的有机锡化合物；或</w:t>
      </w:r>
    </w:p>
    <w:p>
      <w:pPr>
        <w:ind w:firstLine="420" w:firstLineChars="200"/>
        <w:rPr>
          <w:szCs w:val="21"/>
        </w:rPr>
      </w:pPr>
      <w:r>
        <w:rPr>
          <w:rFonts w:hint="eastAsia"/>
          <w:szCs w:val="21"/>
        </w:rPr>
        <w:t>（</w:t>
      </w:r>
      <w:r>
        <w:rPr>
          <w:szCs w:val="21"/>
        </w:rPr>
        <w:t>2</w:t>
      </w:r>
      <w:r>
        <w:rPr>
          <w:rFonts w:hint="eastAsia"/>
          <w:szCs w:val="21"/>
        </w:rPr>
        <w:t>）应设有一个隔离层，以阻挡底层不符合要求的防污底系统渗出作为杀生物剂的有机锡化合物。</w:t>
      </w:r>
    </w:p>
    <w:p>
      <w:pPr>
        <w:pStyle w:val="15"/>
        <w:numPr>
          <w:ilvl w:val="0"/>
          <w:numId w:val="1"/>
        </w:numPr>
        <w:adjustRightInd w:val="0"/>
        <w:snapToGrid w:val="0"/>
        <w:spacing w:line="320" w:lineRule="atLeast"/>
        <w:ind w:firstLineChars="0"/>
        <w:rPr>
          <w:szCs w:val="21"/>
        </w:rPr>
      </w:pPr>
      <w:r>
        <w:rPr>
          <w:rFonts w:hint="eastAsia"/>
          <w:szCs w:val="21"/>
        </w:rPr>
        <w:t>依据《国内海洋渔船法定检验技术规则（</w:t>
      </w:r>
      <w:r>
        <w:rPr>
          <w:szCs w:val="21"/>
        </w:rPr>
        <w:t>2019</w:t>
      </w:r>
      <w:r>
        <w:rPr>
          <w:rFonts w:hint="eastAsia"/>
          <w:szCs w:val="21"/>
        </w:rPr>
        <w:t>）》，请简述国内海洋渔船配备舱底泵的数量和动力型式的具体要求。</w:t>
      </w:r>
    </w:p>
    <w:p>
      <w:pPr>
        <w:rPr>
          <w:szCs w:val="21"/>
        </w:rPr>
      </w:pPr>
      <w:r>
        <w:rPr>
          <w:rFonts w:hint="eastAsia"/>
          <w:szCs w:val="21"/>
        </w:rPr>
        <w:t>答案：</w:t>
      </w:r>
    </w:p>
    <w:p>
      <w:pPr>
        <w:ind w:firstLine="420" w:firstLineChars="200"/>
        <w:rPr>
          <w:szCs w:val="21"/>
        </w:rPr>
      </w:pPr>
      <w:r>
        <w:rPr>
          <w:rFonts w:hint="eastAsia"/>
          <w:szCs w:val="21"/>
        </w:rPr>
        <w:t>国内海洋渔船配备舱底泵的配备要求如下：</w:t>
      </w:r>
    </w:p>
    <w:p>
      <w:pPr>
        <w:ind w:firstLine="420" w:firstLineChars="200"/>
        <w:rPr>
          <w:szCs w:val="21"/>
        </w:rPr>
      </w:pPr>
      <w:r>
        <w:rPr>
          <w:rFonts w:hint="eastAsia"/>
          <w:szCs w:val="21"/>
        </w:rPr>
        <w:t>（</w:t>
      </w:r>
      <w:r>
        <w:rPr>
          <w:szCs w:val="21"/>
        </w:rPr>
        <w:t>1</w:t>
      </w:r>
      <w:r>
        <w:rPr>
          <w:rFonts w:hint="eastAsia"/>
          <w:szCs w:val="21"/>
        </w:rPr>
        <w:t>）船长大于或等于</w:t>
      </w:r>
      <w:r>
        <w:rPr>
          <w:szCs w:val="21"/>
        </w:rPr>
        <w:t>24m</w:t>
      </w:r>
      <w:r>
        <w:rPr>
          <w:rFonts w:hint="eastAsia"/>
          <w:szCs w:val="21"/>
        </w:rPr>
        <w:t>时应至少设两台动力舱底泵，其中至少一台为独立动力泵，其余可为主机带动泵；</w:t>
      </w:r>
    </w:p>
    <w:p>
      <w:pPr>
        <w:ind w:firstLine="420" w:firstLineChars="200"/>
        <w:rPr>
          <w:szCs w:val="21"/>
        </w:rPr>
      </w:pPr>
      <w:r>
        <w:rPr>
          <w:rFonts w:hint="eastAsia"/>
          <w:szCs w:val="21"/>
        </w:rPr>
        <w:t>（</w:t>
      </w:r>
      <w:r>
        <w:rPr>
          <w:szCs w:val="21"/>
        </w:rPr>
        <w:t>2</w:t>
      </w:r>
      <w:r>
        <w:rPr>
          <w:rFonts w:hint="eastAsia"/>
          <w:szCs w:val="21"/>
        </w:rPr>
        <w:t>）船长小于</w:t>
      </w:r>
      <w:r>
        <w:rPr>
          <w:szCs w:val="21"/>
        </w:rPr>
        <w:t>24m</w:t>
      </w:r>
      <w:r>
        <w:rPr>
          <w:rFonts w:hint="eastAsia"/>
          <w:szCs w:val="21"/>
        </w:rPr>
        <w:t>的船舶，可允许仅设一台动力泵和一台适当排量的手动泵；</w:t>
      </w:r>
    </w:p>
    <w:p>
      <w:pPr>
        <w:ind w:firstLine="420" w:firstLineChars="200"/>
        <w:rPr>
          <w:szCs w:val="21"/>
        </w:rPr>
      </w:pPr>
      <w:r>
        <w:rPr>
          <w:rFonts w:hint="eastAsia"/>
          <w:szCs w:val="21"/>
        </w:rPr>
        <w:t>（</w:t>
      </w:r>
      <w:r>
        <w:rPr>
          <w:szCs w:val="21"/>
        </w:rPr>
        <w:t>3</w:t>
      </w:r>
      <w:r>
        <w:rPr>
          <w:rFonts w:hint="eastAsia"/>
          <w:szCs w:val="21"/>
        </w:rPr>
        <w:t>）独立动力的卫生泵、压载泵或总用泵，如其排量足够并与舱底水管系有适当的连接时，均可视为独立动力舱底泵。</w:t>
      </w:r>
    </w:p>
    <w:p>
      <w:pPr>
        <w:pStyle w:val="15"/>
        <w:numPr>
          <w:ilvl w:val="0"/>
          <w:numId w:val="1"/>
        </w:numPr>
        <w:adjustRightInd w:val="0"/>
        <w:snapToGrid w:val="0"/>
        <w:spacing w:line="320" w:lineRule="atLeast"/>
        <w:ind w:firstLineChars="0"/>
        <w:rPr>
          <w:szCs w:val="21"/>
        </w:rPr>
      </w:pPr>
      <w:r>
        <w:rPr>
          <w:rFonts w:hint="eastAsia"/>
          <w:szCs w:val="21"/>
        </w:rPr>
        <w:t>依据《国内海洋小型渔船法定检验技术规则（2019）》，请简述挂桨机渔船、新建座舱机渔船上配备滤油设备的要求。</w:t>
      </w:r>
    </w:p>
    <w:p>
      <w:pPr>
        <w:rPr>
          <w:szCs w:val="21"/>
        </w:rPr>
      </w:pPr>
      <w:r>
        <w:rPr>
          <w:rFonts w:hint="eastAsia"/>
          <w:szCs w:val="21"/>
        </w:rPr>
        <w:t>答案：</w:t>
      </w:r>
    </w:p>
    <w:p>
      <w:pPr>
        <w:ind w:firstLine="420" w:firstLineChars="200"/>
        <w:rPr>
          <w:szCs w:val="21"/>
        </w:rPr>
      </w:pPr>
      <w:r>
        <w:rPr>
          <w:rFonts w:hint="eastAsia"/>
          <w:szCs w:val="21"/>
        </w:rPr>
        <w:t>（1）主柴油机功率不小于22kW的新船，应装设1套额定处理量不小于0.04 m³/h的滤油设备。</w:t>
      </w:r>
    </w:p>
    <w:p>
      <w:pPr>
        <w:ind w:firstLine="420" w:firstLineChars="200"/>
        <w:rPr>
          <w:szCs w:val="21"/>
        </w:rPr>
      </w:pPr>
      <w:r>
        <w:rPr>
          <w:rFonts w:hint="eastAsia"/>
          <w:szCs w:val="21"/>
        </w:rPr>
        <w:t>（2）挂桨机船及主柴油机功率小于22kW的新船，应当装设1套额定处理量不小于0.01 m³/h 的滤油设备，或设置1 个容量足够的适合储存含油污水的容器。</w:t>
      </w:r>
    </w:p>
    <w:p>
      <w:pPr>
        <w:ind w:firstLine="420" w:firstLineChars="200"/>
        <w:rPr>
          <w:szCs w:val="21"/>
        </w:rPr>
      </w:pPr>
      <w:r>
        <w:rPr>
          <w:rFonts w:hint="eastAsia"/>
          <w:szCs w:val="21"/>
        </w:rPr>
        <w:t>（3）装设滤油设备的船舶，应当设置储存含油污水舱柜或容器。</w:t>
      </w:r>
    </w:p>
    <w:p>
      <w:pPr>
        <w:pStyle w:val="15"/>
        <w:numPr>
          <w:ilvl w:val="0"/>
          <w:numId w:val="1"/>
        </w:numPr>
        <w:adjustRightInd w:val="0"/>
        <w:snapToGrid w:val="0"/>
        <w:spacing w:line="320" w:lineRule="atLeast"/>
        <w:ind w:firstLineChars="0"/>
        <w:rPr>
          <w:szCs w:val="21"/>
        </w:rPr>
      </w:pPr>
      <w:r>
        <w:rPr>
          <w:rFonts w:hint="eastAsia"/>
          <w:szCs w:val="21"/>
        </w:rPr>
        <w:t>依据《国内海洋小型渔船法定检验技术规则（2019）》，一艘船长</w:t>
      </w:r>
      <w:r>
        <w:rPr>
          <w:szCs w:val="21"/>
        </w:rPr>
        <w:t>10</w:t>
      </w:r>
      <w:r>
        <w:rPr>
          <w:rFonts w:hint="eastAsia"/>
          <w:szCs w:val="21"/>
          <w:lang w:val="en-US" w:eastAsia="zh-CN"/>
        </w:rPr>
        <w:t>.00</w:t>
      </w:r>
      <w:bookmarkStart w:id="0" w:name="_GoBack"/>
      <w:bookmarkEnd w:id="0"/>
      <w:r>
        <w:rPr>
          <w:rFonts w:hint="eastAsia"/>
          <w:szCs w:val="21"/>
        </w:rPr>
        <w:t>m海洋渔船，请简述该渔船应配备哪些消防设备。</w:t>
      </w:r>
    </w:p>
    <w:p>
      <w:pPr>
        <w:rPr>
          <w:szCs w:val="21"/>
        </w:rPr>
      </w:pPr>
      <w:r>
        <w:rPr>
          <w:rFonts w:hint="eastAsia"/>
          <w:szCs w:val="21"/>
        </w:rPr>
        <w:t>答案：</w:t>
      </w:r>
    </w:p>
    <w:p>
      <w:pPr>
        <w:ind w:firstLine="420" w:firstLineChars="200"/>
        <w:rPr>
          <w:szCs w:val="21"/>
        </w:rPr>
      </w:pPr>
      <w:r>
        <w:rPr>
          <w:rFonts w:hint="eastAsia"/>
          <w:szCs w:val="21"/>
        </w:rPr>
        <w:t>（1）每艘船舶至少应配备2 具手提灭火器；</w:t>
      </w:r>
    </w:p>
    <w:p>
      <w:pPr>
        <w:ind w:firstLine="420" w:firstLineChars="200"/>
        <w:rPr>
          <w:szCs w:val="21"/>
        </w:rPr>
      </w:pPr>
      <w:r>
        <w:rPr>
          <w:rFonts w:hint="eastAsia"/>
          <w:szCs w:val="21"/>
        </w:rPr>
        <w:t>（2）在每一易失火区域均应至少备有一具合适的灭火器；</w:t>
      </w:r>
    </w:p>
    <w:p>
      <w:pPr>
        <w:ind w:firstLine="420" w:firstLineChars="200"/>
        <w:rPr>
          <w:szCs w:val="21"/>
        </w:rPr>
      </w:pPr>
      <w:r>
        <w:rPr>
          <w:rFonts w:hint="eastAsia"/>
          <w:szCs w:val="21"/>
        </w:rPr>
        <w:t>（3）应至少配备1 个带适当长度绳子的消防水桶；1 把太平斧，消防水桶和太平斧可分别用生活用水桶和生活用斧代替。</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A738E"/>
    <w:multiLevelType w:val="multilevel"/>
    <w:tmpl w:val="1F0A738E"/>
    <w:lvl w:ilvl="0" w:tentative="0">
      <w:start w:val="1"/>
      <w:numFmt w:val="decimal"/>
      <w:suff w:val="space"/>
      <w:lvlText w:val="%1."/>
      <w:lvlJc w:val="left"/>
      <w:pPr>
        <w:ind w:left="0" w:firstLine="0"/>
      </w:pPr>
      <w:rPr>
        <w:rFonts w:hint="eastAsia"/>
      </w:rPr>
    </w:lvl>
    <w:lvl w:ilvl="1" w:tentative="0">
      <w:start w:val="1"/>
      <w:numFmt w:val="decimal"/>
      <w:lvlText w:val="（%2）"/>
      <w:lvlJc w:val="left"/>
      <w:pPr>
        <w:ind w:left="1140" w:hanging="720"/>
      </w:pPr>
      <w:rPr>
        <w:lang w:val="en-US"/>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07287"/>
    <w:rsid w:val="00036D17"/>
    <w:rsid w:val="0007050F"/>
    <w:rsid w:val="000B7380"/>
    <w:rsid w:val="000C2DD6"/>
    <w:rsid w:val="000C3A9E"/>
    <w:rsid w:val="000D36CC"/>
    <w:rsid w:val="000D4CAA"/>
    <w:rsid w:val="000E27D4"/>
    <w:rsid w:val="00115889"/>
    <w:rsid w:val="00122DAE"/>
    <w:rsid w:val="00153C28"/>
    <w:rsid w:val="00180A46"/>
    <w:rsid w:val="00190AE5"/>
    <w:rsid w:val="00193807"/>
    <w:rsid w:val="001B5394"/>
    <w:rsid w:val="001C46B4"/>
    <w:rsid w:val="001C5D2C"/>
    <w:rsid w:val="001D7D96"/>
    <w:rsid w:val="002B647A"/>
    <w:rsid w:val="00342334"/>
    <w:rsid w:val="00351531"/>
    <w:rsid w:val="00387ABB"/>
    <w:rsid w:val="00395E03"/>
    <w:rsid w:val="003B3D79"/>
    <w:rsid w:val="00447C7E"/>
    <w:rsid w:val="0046534E"/>
    <w:rsid w:val="00473F15"/>
    <w:rsid w:val="00480DB8"/>
    <w:rsid w:val="004B7B9A"/>
    <w:rsid w:val="004E37D8"/>
    <w:rsid w:val="004F674A"/>
    <w:rsid w:val="00513434"/>
    <w:rsid w:val="00535D43"/>
    <w:rsid w:val="0054745D"/>
    <w:rsid w:val="005543EF"/>
    <w:rsid w:val="005B3E6D"/>
    <w:rsid w:val="005D66B6"/>
    <w:rsid w:val="00623C8D"/>
    <w:rsid w:val="00637291"/>
    <w:rsid w:val="00643E68"/>
    <w:rsid w:val="006445E7"/>
    <w:rsid w:val="00677B1B"/>
    <w:rsid w:val="00713644"/>
    <w:rsid w:val="00740480"/>
    <w:rsid w:val="00766AD5"/>
    <w:rsid w:val="007761EC"/>
    <w:rsid w:val="007B70EC"/>
    <w:rsid w:val="007C19A0"/>
    <w:rsid w:val="00857062"/>
    <w:rsid w:val="00861E52"/>
    <w:rsid w:val="0091391E"/>
    <w:rsid w:val="0092324B"/>
    <w:rsid w:val="0092378E"/>
    <w:rsid w:val="00925B4D"/>
    <w:rsid w:val="00932E96"/>
    <w:rsid w:val="009375CB"/>
    <w:rsid w:val="0094421C"/>
    <w:rsid w:val="0095201D"/>
    <w:rsid w:val="00972CB2"/>
    <w:rsid w:val="00980314"/>
    <w:rsid w:val="00982D3E"/>
    <w:rsid w:val="009C6D4A"/>
    <w:rsid w:val="009D6CBA"/>
    <w:rsid w:val="009E1028"/>
    <w:rsid w:val="00A0374E"/>
    <w:rsid w:val="00A20551"/>
    <w:rsid w:val="00A23976"/>
    <w:rsid w:val="00A40453"/>
    <w:rsid w:val="00AA60A6"/>
    <w:rsid w:val="00AC7817"/>
    <w:rsid w:val="00AD18AD"/>
    <w:rsid w:val="00B0088A"/>
    <w:rsid w:val="00B445FB"/>
    <w:rsid w:val="00B5500B"/>
    <w:rsid w:val="00BA27AC"/>
    <w:rsid w:val="00BD2F71"/>
    <w:rsid w:val="00C15A9B"/>
    <w:rsid w:val="00C84AFA"/>
    <w:rsid w:val="00C919B2"/>
    <w:rsid w:val="00CB56C8"/>
    <w:rsid w:val="00CC7D83"/>
    <w:rsid w:val="00D219B7"/>
    <w:rsid w:val="00D45971"/>
    <w:rsid w:val="00D616B9"/>
    <w:rsid w:val="00D828BD"/>
    <w:rsid w:val="00D86000"/>
    <w:rsid w:val="00D90B74"/>
    <w:rsid w:val="00DA3C20"/>
    <w:rsid w:val="00DD011C"/>
    <w:rsid w:val="00DD07F3"/>
    <w:rsid w:val="00DE5020"/>
    <w:rsid w:val="00DF330E"/>
    <w:rsid w:val="00E53582"/>
    <w:rsid w:val="00E54C06"/>
    <w:rsid w:val="00E6146A"/>
    <w:rsid w:val="00EA5AD8"/>
    <w:rsid w:val="00EB6B83"/>
    <w:rsid w:val="00F540DD"/>
    <w:rsid w:val="00FE13C1"/>
    <w:rsid w:val="00FF6FDD"/>
    <w:rsid w:val="1F4D534D"/>
    <w:rsid w:val="3ADE30F7"/>
    <w:rsid w:val="53372E57"/>
    <w:rsid w:val="71435BA6"/>
    <w:rsid w:val="7EFE7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Plain Text"/>
    <w:basedOn w:val="1"/>
    <w:link w:val="17"/>
    <w:semiHidden/>
    <w:unhideWhenUsed/>
    <w:qFormat/>
    <w:uiPriority w:val="0"/>
    <w:rPr>
      <w:rFonts w:ascii="宋体" w:hAnsi="Courier New" w:eastAsiaTheme="minorEastAsia" w:cstheme="minorBidi"/>
      <w:szCs w:val="22"/>
    </w:rPr>
  </w:style>
  <w:style w:type="paragraph" w:styleId="4">
    <w:name w:val="Balloon Text"/>
    <w:basedOn w:val="1"/>
    <w:link w:val="21"/>
    <w:semiHidden/>
    <w:unhideWhenUsed/>
    <w:uiPriority w:val="99"/>
    <w:rPr>
      <w:sz w:val="18"/>
      <w:szCs w:val="18"/>
    </w:rPr>
  </w:style>
  <w:style w:type="paragraph" w:styleId="5">
    <w:name w:val="footer"/>
    <w:basedOn w:val="1"/>
    <w:link w:val="14"/>
    <w:unhideWhenUsed/>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0"/>
    <w:semiHidden/>
    <w:unhideWhenUsed/>
    <w:uiPriority w:val="99"/>
    <w:rPr>
      <w:b/>
      <w:bCs/>
    </w:rPr>
  </w:style>
  <w:style w:type="character" w:styleId="10">
    <w:name w:val="FollowedHyperlink"/>
    <w:basedOn w:val="9"/>
    <w:semiHidden/>
    <w:unhideWhenUsed/>
    <w:qFormat/>
    <w:uiPriority w:val="99"/>
    <w:rPr>
      <w:color w:val="954F72" w:themeColor="followedHyperlink"/>
      <w:u w:val="single"/>
      <w14:textFill>
        <w14:solidFill>
          <w14:schemeClr w14:val="folHlink"/>
        </w14:solidFill>
      </w14:textFill>
    </w:rPr>
  </w:style>
  <w:style w:type="character" w:styleId="11">
    <w:name w:val="Hyperlink"/>
    <w:qFormat/>
    <w:uiPriority w:val="0"/>
    <w:rPr>
      <w:color w:val="0000FF"/>
      <w:szCs w:val="20"/>
      <w:u w:val="single"/>
    </w:rPr>
  </w:style>
  <w:style w:type="character" w:styleId="12">
    <w:name w:val="annotation reference"/>
    <w:basedOn w:val="9"/>
    <w:semiHidden/>
    <w:unhideWhenUsed/>
    <w:qFormat/>
    <w:uiPriority w:val="99"/>
    <w:rPr>
      <w:sz w:val="21"/>
      <w:szCs w:val="21"/>
    </w:rPr>
  </w:style>
  <w:style w:type="character" w:customStyle="1" w:styleId="13">
    <w:name w:val="页眉 字符"/>
    <w:basedOn w:val="9"/>
    <w:link w:val="6"/>
    <w:qFormat/>
    <w:uiPriority w:val="99"/>
    <w:rPr>
      <w:sz w:val="18"/>
      <w:szCs w:val="18"/>
    </w:rPr>
  </w:style>
  <w:style w:type="character" w:customStyle="1" w:styleId="14">
    <w:name w:val="页脚 字符"/>
    <w:basedOn w:val="9"/>
    <w:link w:val="5"/>
    <w:qFormat/>
    <w:uiPriority w:val="99"/>
    <w:rPr>
      <w:sz w:val="18"/>
      <w:szCs w:val="18"/>
    </w:rPr>
  </w:style>
  <w:style w:type="paragraph" w:styleId="15">
    <w:name w:val="List Paragraph"/>
    <w:basedOn w:val="1"/>
    <w:qFormat/>
    <w:uiPriority w:val="34"/>
    <w:pPr>
      <w:ind w:firstLine="420" w:firstLineChars="200"/>
    </w:pPr>
  </w:style>
  <w:style w:type="paragraph" w:customStyle="1" w:styleId="16">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7">
    <w:name w:val="纯文本 字符"/>
    <w:basedOn w:val="9"/>
    <w:link w:val="3"/>
    <w:semiHidden/>
    <w:qFormat/>
    <w:uiPriority w:val="0"/>
    <w:rPr>
      <w:rFonts w:ascii="宋体" w:hAnsi="Courier New"/>
    </w:rPr>
  </w:style>
  <w:style w:type="character" w:customStyle="1" w:styleId="18">
    <w:name w:val="纯文本 字符1"/>
    <w:basedOn w:val="9"/>
    <w:semiHidden/>
    <w:qFormat/>
    <w:uiPriority w:val="99"/>
    <w:rPr>
      <w:rFonts w:hint="eastAsia" w:hAnsi="Courier New" w:eastAsia="等线" w:cs="Courier New" w:asciiTheme="minorEastAsia"/>
      <w:szCs w:val="24"/>
    </w:rPr>
  </w:style>
  <w:style w:type="character" w:customStyle="1" w:styleId="19">
    <w:name w:val="批注文字 字符"/>
    <w:basedOn w:val="9"/>
    <w:link w:val="2"/>
    <w:semiHidden/>
    <w:qFormat/>
    <w:uiPriority w:val="99"/>
    <w:rPr>
      <w:rFonts w:ascii="Times New Roman" w:hAnsi="Times New Roman" w:eastAsia="宋体" w:cs="Times New Roman"/>
      <w:szCs w:val="24"/>
    </w:rPr>
  </w:style>
  <w:style w:type="character" w:customStyle="1" w:styleId="20">
    <w:name w:val="批注主题 字符"/>
    <w:basedOn w:val="19"/>
    <w:link w:val="7"/>
    <w:semiHidden/>
    <w:qFormat/>
    <w:uiPriority w:val="99"/>
    <w:rPr>
      <w:rFonts w:ascii="Times New Roman" w:hAnsi="Times New Roman" w:eastAsia="宋体" w:cs="Times New Roman"/>
      <w:b/>
      <w:bCs/>
      <w:szCs w:val="24"/>
    </w:rPr>
  </w:style>
  <w:style w:type="character" w:customStyle="1" w:styleId="21">
    <w:name w:val="批注框文本 字符"/>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Pages>
  <Words>1040</Words>
  <Characters>1094</Characters>
  <Lines>9</Lines>
  <Paragraphs>2</Paragraphs>
  <TotalTime>553</TotalTime>
  <ScaleCrop>false</ScaleCrop>
  <LinksUpToDate>false</LinksUpToDate>
  <CharactersWithSpaces>1101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2023-07-24T03:31:00Z</dcterms:created>
  <dc:creator>姚静</dc:creator>
  <cp:lastModifiedBy>jsyj-ysc2</cp:lastModifiedBy>
  <dcterms:modified xsi:type="dcterms:W3CDTF">2023-09-02T08:36:33Z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83A49A7894824E33BD029561037AC962_12</vt:lpwstr>
  </property>
</Properties>
</file>